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before="0" w:after="0" w:line="240" w:lineRule="auto"/>
        <w:rPr>
          <w:rFonts w:ascii="华文中宋" w:hAnsi="华文中宋" w:eastAsia="华文中宋"/>
          <w:b w:val="0"/>
          <w:sz w:val="30"/>
          <w:szCs w:val="30"/>
        </w:rPr>
      </w:pPr>
      <w:r>
        <w:rPr>
          <w:rFonts w:hint="eastAsia" w:ascii="华文中宋" w:hAnsi="华文中宋" w:eastAsia="华文中宋"/>
        </w:rPr>
        <w:t>自由探索计划“天目启航”专项项目选题征集表</w:t>
      </w:r>
    </w:p>
    <w:p/>
    <w:tbl>
      <w:tblPr>
        <w:tblStyle w:val="7"/>
        <w:tblW w:w="8960" w:type="dxa"/>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7"/>
        <w:gridCol w:w="2943"/>
        <w:gridCol w:w="1134"/>
        <w:gridCol w:w="36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9" w:hRule="atLeast"/>
        </w:trPr>
        <w:tc>
          <w:tcPr>
            <w:tcW w:w="1277" w:type="dxa"/>
            <w:vAlign w:val="center"/>
          </w:tcPr>
          <w:p>
            <w:pPr>
              <w:jc w:val="center"/>
              <w:rPr>
                <w:b/>
              </w:rPr>
            </w:pPr>
            <w:r>
              <w:rPr>
                <w:rFonts w:hint="eastAsia"/>
                <w:b/>
              </w:rPr>
              <w:t>教师姓名</w:t>
            </w:r>
          </w:p>
        </w:tc>
        <w:tc>
          <w:tcPr>
            <w:tcW w:w="2943" w:type="dxa"/>
            <w:vAlign w:val="center"/>
          </w:tcPr>
          <w:p>
            <w:pPr>
              <w:jc w:val="center"/>
              <w:rPr>
                <w:b/>
              </w:rPr>
            </w:pPr>
            <w:r>
              <w:rPr>
                <w:rFonts w:hint="eastAsia"/>
                <w:b/>
              </w:rPr>
              <w:t>王毅</w:t>
            </w:r>
          </w:p>
        </w:tc>
        <w:tc>
          <w:tcPr>
            <w:tcW w:w="1134" w:type="dxa"/>
            <w:vAlign w:val="center"/>
          </w:tcPr>
          <w:p>
            <w:pPr>
              <w:jc w:val="center"/>
              <w:rPr>
                <w:b/>
              </w:rPr>
            </w:pPr>
            <w:r>
              <w:rPr>
                <w:rFonts w:hint="eastAsia"/>
                <w:b/>
              </w:rPr>
              <w:t>学 院</w:t>
            </w:r>
          </w:p>
        </w:tc>
        <w:tc>
          <w:tcPr>
            <w:tcW w:w="3606" w:type="dxa"/>
            <w:vAlign w:val="center"/>
          </w:tcPr>
          <w:p>
            <w:pPr>
              <w:ind w:left="113" w:right="113"/>
              <w:jc w:val="center"/>
              <w:rPr>
                <w:b/>
              </w:rPr>
            </w:pPr>
            <w:r>
              <w:rPr>
                <w:rFonts w:hint="eastAsia"/>
                <w:b/>
              </w:rPr>
              <w:t>电子信息工程学院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9" w:hRule="atLeast"/>
        </w:trPr>
        <w:tc>
          <w:tcPr>
            <w:tcW w:w="1277" w:type="dxa"/>
            <w:vAlign w:val="center"/>
          </w:tcPr>
          <w:p>
            <w:pPr>
              <w:jc w:val="center"/>
              <w:rPr>
                <w:b/>
              </w:rPr>
            </w:pPr>
            <w:r>
              <w:rPr>
                <w:rFonts w:hint="eastAsia"/>
                <w:b/>
              </w:rPr>
              <w:t>职  称</w:t>
            </w:r>
          </w:p>
        </w:tc>
        <w:tc>
          <w:tcPr>
            <w:tcW w:w="2943" w:type="dxa"/>
            <w:vAlign w:val="center"/>
          </w:tcPr>
          <w:p>
            <w:pPr>
              <w:jc w:val="center"/>
              <w:rPr>
                <w:rFonts w:hint="eastAsia" w:eastAsia="宋体"/>
                <w:b/>
                <w:lang w:val="en-US" w:eastAsia="zh-CN"/>
              </w:rPr>
            </w:pPr>
            <w:r>
              <w:rPr>
                <w:rFonts w:hint="eastAsia"/>
                <w:b/>
                <w:lang w:val="en-US" w:eastAsia="zh-CN"/>
              </w:rPr>
              <w:t>副教授</w:t>
            </w:r>
          </w:p>
        </w:tc>
        <w:tc>
          <w:tcPr>
            <w:tcW w:w="1134" w:type="dxa"/>
            <w:vAlign w:val="center"/>
          </w:tcPr>
          <w:p>
            <w:pPr>
              <w:jc w:val="center"/>
              <w:rPr>
                <w:b/>
              </w:rPr>
            </w:pPr>
            <w:r>
              <w:rPr>
                <w:rFonts w:hint="eastAsia"/>
                <w:b/>
              </w:rPr>
              <w:t>联系方式</w:t>
            </w:r>
          </w:p>
        </w:tc>
        <w:tc>
          <w:tcPr>
            <w:tcW w:w="3606" w:type="dxa"/>
            <w:vAlign w:val="center"/>
          </w:tcPr>
          <w:p>
            <w:pPr>
              <w:jc w:val="center"/>
              <w:rPr>
                <w:rFonts w:hint="default" w:eastAsia="宋体"/>
                <w:b/>
                <w:lang w:val="en-US" w:eastAsia="zh-CN"/>
              </w:rPr>
            </w:pPr>
            <w:r>
              <w:rPr>
                <w:rFonts w:hint="eastAsia"/>
                <w:b/>
                <w:lang w:val="en-US" w:eastAsia="zh-CN"/>
              </w:rPr>
              <w:t>13951778476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9" w:hRule="atLeast"/>
        </w:trPr>
        <w:tc>
          <w:tcPr>
            <w:tcW w:w="1277" w:type="dxa"/>
            <w:vAlign w:val="center"/>
          </w:tcPr>
          <w:p>
            <w:pPr>
              <w:jc w:val="center"/>
              <w:rPr>
                <w:b/>
              </w:rPr>
            </w:pPr>
            <w:r>
              <w:rPr>
                <w:rFonts w:hint="eastAsia"/>
                <w:b/>
              </w:rPr>
              <w:t>邮 箱</w:t>
            </w:r>
          </w:p>
        </w:tc>
        <w:tc>
          <w:tcPr>
            <w:tcW w:w="2943" w:type="dxa"/>
            <w:vAlign w:val="center"/>
          </w:tcPr>
          <w:p>
            <w:pPr>
              <w:jc w:val="center"/>
              <w:rPr>
                <w:b/>
              </w:rPr>
            </w:pPr>
            <w:r>
              <w:fldChar w:fldCharType="begin"/>
            </w:r>
            <w:r>
              <w:instrText xml:space="preserve"> HYPERLINK "mailto:jflsjfls@nuaa.edu.cn" </w:instrText>
            </w:r>
            <w:r>
              <w:fldChar w:fldCharType="separate"/>
            </w:r>
            <w:r>
              <w:rPr>
                <w:rStyle w:val="9"/>
                <w:rFonts w:eastAsia="MS Mincho"/>
              </w:rPr>
              <w:t>jflsjfls@nuaa.edu.cn</w:t>
            </w:r>
            <w:r>
              <w:rPr>
                <w:rStyle w:val="9"/>
                <w:rFonts w:eastAsia="MS Mincho"/>
              </w:rPr>
              <w:fldChar w:fldCharType="end"/>
            </w:r>
          </w:p>
        </w:tc>
        <w:tc>
          <w:tcPr>
            <w:tcW w:w="1134" w:type="dxa"/>
            <w:vAlign w:val="center"/>
          </w:tcPr>
          <w:p>
            <w:pPr>
              <w:jc w:val="center"/>
              <w:rPr>
                <w:b/>
              </w:rPr>
            </w:pPr>
            <w:r>
              <w:rPr>
                <w:rFonts w:hint="eastAsia"/>
                <w:b/>
              </w:rPr>
              <w:t>研究方向</w:t>
            </w:r>
          </w:p>
        </w:tc>
        <w:tc>
          <w:tcPr>
            <w:tcW w:w="3606" w:type="dxa"/>
            <w:vAlign w:val="center"/>
          </w:tcPr>
          <w:p>
            <w:pPr>
              <w:jc w:val="center"/>
              <w:rPr>
                <w:rFonts w:hint="eastAsia" w:eastAsia="宋体"/>
                <w:b/>
                <w:lang w:val="en-US" w:eastAsia="zh-CN"/>
              </w:rPr>
            </w:pPr>
            <w:r>
              <w:rPr>
                <w:rFonts w:hint="eastAsia"/>
                <w:b/>
                <w:lang w:val="en-US" w:eastAsia="zh-CN"/>
              </w:rPr>
              <w:t>电磁场与微波技术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9" w:hRule="atLeast"/>
        </w:trPr>
        <w:tc>
          <w:tcPr>
            <w:tcW w:w="1277" w:type="dxa"/>
            <w:vAlign w:val="center"/>
          </w:tcPr>
          <w:p>
            <w:pPr>
              <w:jc w:val="center"/>
              <w:rPr>
                <w:b/>
              </w:rPr>
            </w:pPr>
            <w:r>
              <w:rPr>
                <w:rFonts w:hint="eastAsia"/>
                <w:b/>
              </w:rPr>
              <w:t>所属主题创新区</w:t>
            </w:r>
          </w:p>
        </w:tc>
        <w:tc>
          <w:tcPr>
            <w:tcW w:w="7683" w:type="dxa"/>
            <w:gridSpan w:val="3"/>
            <w:vAlign w:val="center"/>
          </w:tcPr>
          <w:p>
            <w:pPr>
              <w:jc w:val="cente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trPr>
        <w:tc>
          <w:tcPr>
            <w:tcW w:w="1277" w:type="dxa"/>
            <w:tcBorders>
              <w:right w:val="single" w:color="auto" w:sz="4" w:space="0"/>
            </w:tcBorders>
            <w:vAlign w:val="center"/>
          </w:tcPr>
          <w:p>
            <w:pPr>
              <w:jc w:val="center"/>
              <w:rPr>
                <w:b/>
              </w:rPr>
            </w:pPr>
            <w:r>
              <w:rPr>
                <w:rFonts w:hint="eastAsia"/>
                <w:b/>
              </w:rPr>
              <w:t>项目名称</w:t>
            </w:r>
          </w:p>
        </w:tc>
        <w:tc>
          <w:tcPr>
            <w:tcW w:w="7683" w:type="dxa"/>
            <w:gridSpan w:val="3"/>
            <w:tcBorders>
              <w:left w:val="single" w:color="auto" w:sz="4" w:space="0"/>
            </w:tcBorders>
            <w:vAlign w:val="center"/>
          </w:tcPr>
          <w:p>
            <w:pPr>
              <w:jc w:val="center"/>
              <w:rPr>
                <w:rFonts w:hint="eastAsia" w:eastAsia="宋体"/>
                <w:b/>
                <w:lang w:val="en-US" w:eastAsia="zh-CN"/>
              </w:rPr>
            </w:pPr>
            <w:r>
              <w:rPr>
                <w:rFonts w:hint="eastAsia"/>
                <w:b/>
              </w:rPr>
              <w:t>基于深度神经网络的FSS逆向设计</w:t>
            </w:r>
            <w:r>
              <w:rPr>
                <w:rFonts w:hint="eastAsia"/>
                <w:b/>
                <w:lang w:val="en-US" w:eastAsia="zh-CN"/>
              </w:rPr>
              <w:t>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087" w:hRule="atLeast"/>
        </w:trPr>
        <w:tc>
          <w:tcPr>
            <w:tcW w:w="1277" w:type="dxa"/>
            <w:textDirection w:val="tbRlV"/>
            <w:vAlign w:val="center"/>
          </w:tcPr>
          <w:p>
            <w:pPr>
              <w:ind w:left="113" w:right="113"/>
              <w:jc w:val="center"/>
              <w:rPr>
                <w:b/>
              </w:rPr>
            </w:pPr>
            <w:r>
              <w:rPr>
                <w:rFonts w:hint="eastAsia"/>
                <w:b/>
              </w:rPr>
              <w:t>项 目 简 介（2</w:t>
            </w:r>
            <w:r>
              <w:rPr>
                <w:b/>
              </w:rPr>
              <w:t>00</w:t>
            </w:r>
            <w:r>
              <w:rPr>
                <w:rFonts w:hint="eastAsia"/>
                <w:b/>
              </w:rPr>
              <w:t>字左右）</w:t>
            </w:r>
          </w:p>
        </w:tc>
        <w:tc>
          <w:tcPr>
            <w:tcW w:w="7683" w:type="dxa"/>
            <w:gridSpan w:val="3"/>
            <w:vAlign w:val="center"/>
          </w:tcPr>
          <w:p>
            <w:pPr>
              <w:shd w:val="solid" w:color="FFFFFF" w:fill="auto"/>
              <w:autoSpaceDN w:val="0"/>
              <w:spacing w:line="315" w:lineRule="atLeast"/>
              <w:ind w:firstLine="422" w:firstLineChars="200"/>
              <w:jc w:val="left"/>
              <w:rPr>
                <w:b/>
              </w:rPr>
            </w:pPr>
            <w:r>
              <w:rPr>
                <w:rFonts w:hint="eastAsia"/>
                <w:b/>
              </w:rPr>
              <w:t>由于电磁波的滤波特性，频率选择表面（FSS）被广泛应用于各种波段的工程设计。在针对实际需求的FSS设计中，通常通过模拟来观察基本FSS结构的S参数曲线，并仔细调整相应的结构参数。然而，这种耗时的迭代过程是乏味的，需要设计者具有一定的设计经验才能实现更高的参数调谐效率，例如等效电路模型。</w:t>
            </w:r>
          </w:p>
          <w:p>
            <w:pPr>
              <w:shd w:val="solid" w:color="FFFFFF" w:fill="auto"/>
              <w:autoSpaceDN w:val="0"/>
              <w:spacing w:line="315" w:lineRule="atLeast"/>
              <w:ind w:firstLine="422" w:firstLineChars="200"/>
              <w:jc w:val="left"/>
              <w:rPr>
                <w:b/>
              </w:rPr>
            </w:pPr>
            <w:r>
              <w:rPr>
                <w:rFonts w:hint="eastAsia"/>
                <w:b/>
              </w:rPr>
              <w:t>因此，需要一种自动化、高效的方法来更好地实现FSS的设计。近年来，深度神经网络因其在高度复杂的非线性问题中优异的拟合能力而引起了人们的广泛关注。对于输入和输出变量之间的复杂对应关系，深度神经网络只需要一定数量的匹配数据就可以拟合对应的映射函数。</w:t>
            </w:r>
          </w:p>
          <w:p>
            <w:pPr>
              <w:shd w:val="solid" w:color="FFFFFF" w:fill="auto"/>
              <w:autoSpaceDN w:val="0"/>
              <w:spacing w:line="315" w:lineRule="atLeast"/>
              <w:ind w:firstLine="422" w:firstLineChars="200"/>
              <w:jc w:val="left"/>
              <w:rPr>
                <w:b/>
              </w:rPr>
            </w:pPr>
            <w:r>
              <w:rPr>
                <w:rFonts w:hint="eastAsia"/>
                <w:b/>
              </w:rPr>
              <w:t>在频率选择表面（FSS）模型的神经网络逆设计中，输入是S参数，而输出是结构参数或材料参数。利用等距采样对S曲线进行数据采集，加上与之对应的结构参数构成训练数据集，用深度神经网络对其训练，找到输入输出的映射关系，再利用这个映射关系来设计FS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1" w:hRule="atLeast"/>
        </w:trPr>
        <w:tc>
          <w:tcPr>
            <w:tcW w:w="1277" w:type="dxa"/>
            <w:vMerge w:val="restart"/>
            <w:textDirection w:val="tbRlV"/>
            <w:vAlign w:val="center"/>
          </w:tcPr>
          <w:p>
            <w:pPr>
              <w:ind w:left="113" w:right="113"/>
              <w:jc w:val="center"/>
              <w:rPr>
                <w:b/>
              </w:rPr>
            </w:pPr>
            <w:r>
              <w:rPr>
                <w:rFonts w:hint="eastAsia"/>
                <w:b/>
              </w:rPr>
              <w:t>人 员 专业及技能 要求</w:t>
            </w:r>
          </w:p>
        </w:tc>
        <w:tc>
          <w:tcPr>
            <w:tcW w:w="2943" w:type="dxa"/>
            <w:vAlign w:val="center"/>
          </w:tcPr>
          <w:p>
            <w:pPr>
              <w:jc w:val="center"/>
              <w:rPr>
                <w:b/>
              </w:rPr>
            </w:pPr>
            <w:r>
              <w:rPr>
                <w:rFonts w:hint="eastAsia"/>
                <w:b/>
              </w:rPr>
              <w:t>主要职责、</w:t>
            </w:r>
            <w:r>
              <w:rPr>
                <w:b/>
              </w:rPr>
              <w:t>任务</w:t>
            </w:r>
          </w:p>
        </w:tc>
        <w:tc>
          <w:tcPr>
            <w:tcW w:w="1134" w:type="dxa"/>
            <w:vAlign w:val="center"/>
          </w:tcPr>
          <w:p>
            <w:pPr>
              <w:jc w:val="center"/>
              <w:rPr>
                <w:b/>
              </w:rPr>
            </w:pPr>
            <w:r>
              <w:rPr>
                <w:rFonts w:hint="eastAsia"/>
                <w:b/>
              </w:rPr>
              <w:t>需求人数</w:t>
            </w:r>
          </w:p>
        </w:tc>
        <w:tc>
          <w:tcPr>
            <w:tcW w:w="3606" w:type="dxa"/>
            <w:vAlign w:val="center"/>
          </w:tcPr>
          <w:p>
            <w:pPr>
              <w:jc w:val="center"/>
              <w:rPr>
                <w:b/>
              </w:rPr>
            </w:pPr>
            <w:r>
              <w:rPr>
                <w:rFonts w:hint="eastAsia"/>
                <w:b/>
              </w:rPr>
              <w:t>专业及技能要求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77" w:type="dxa"/>
            <w:vMerge w:val="continue"/>
            <w:vAlign w:val="center"/>
          </w:tcPr>
          <w:p>
            <w:pPr>
              <w:jc w:val="center"/>
              <w:rPr>
                <w:b/>
              </w:rPr>
            </w:pPr>
          </w:p>
        </w:tc>
        <w:tc>
          <w:tcPr>
            <w:tcW w:w="2943" w:type="dxa"/>
            <w:vAlign w:val="center"/>
          </w:tcPr>
          <w:p>
            <w:pPr>
              <w:jc w:val="center"/>
              <w:rPr>
                <w:b/>
              </w:rPr>
            </w:pPr>
            <w:r>
              <w:rPr>
                <w:rFonts w:hint="eastAsia"/>
                <w:b/>
              </w:rPr>
              <w:t>FSS结构设计</w:t>
            </w:r>
          </w:p>
        </w:tc>
        <w:tc>
          <w:tcPr>
            <w:tcW w:w="1134" w:type="dxa"/>
            <w:vAlign w:val="center"/>
          </w:tcPr>
          <w:p>
            <w:pPr>
              <w:jc w:val="center"/>
              <w:rPr>
                <w:b/>
              </w:rPr>
            </w:pPr>
            <w:r>
              <w:rPr>
                <w:rFonts w:hint="eastAsia"/>
                <w:b/>
              </w:rPr>
              <w:t>1</w:t>
            </w:r>
          </w:p>
        </w:tc>
        <w:tc>
          <w:tcPr>
            <w:tcW w:w="3606" w:type="dxa"/>
            <w:vAlign w:val="center"/>
          </w:tcPr>
          <w:p>
            <w:pPr>
              <w:jc w:val="center"/>
              <w:rPr>
                <w:rFonts w:hint="eastAsia"/>
                <w:b/>
              </w:rPr>
            </w:pPr>
            <w:r>
              <w:rPr>
                <w:rFonts w:hint="eastAsia"/>
                <w:b/>
                <w:lang w:val="en-US" w:eastAsia="zh-CN"/>
              </w:rPr>
              <w:t>学习</w:t>
            </w:r>
            <w:r>
              <w:rPr>
                <w:rFonts w:hint="eastAsia"/>
                <w:b/>
              </w:rPr>
              <w:t>电磁仿真软件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77" w:type="dxa"/>
            <w:vMerge w:val="continue"/>
            <w:vAlign w:val="center"/>
          </w:tcPr>
          <w:p>
            <w:pPr>
              <w:jc w:val="center"/>
              <w:rPr>
                <w:b/>
              </w:rPr>
            </w:pPr>
          </w:p>
        </w:tc>
        <w:tc>
          <w:tcPr>
            <w:tcW w:w="2943" w:type="dxa"/>
            <w:vAlign w:val="center"/>
          </w:tcPr>
          <w:p>
            <w:pPr>
              <w:jc w:val="center"/>
              <w:rPr>
                <w:rFonts w:hint="default" w:eastAsia="宋体"/>
                <w:b/>
                <w:lang w:val="en-US" w:eastAsia="zh-CN"/>
              </w:rPr>
            </w:pPr>
            <w:r>
              <w:rPr>
                <w:rFonts w:hint="eastAsia"/>
                <w:b/>
              </w:rPr>
              <w:t>深度神经网络框架搭建</w:t>
            </w:r>
            <w:r>
              <w:rPr>
                <w:rFonts w:hint="eastAsia"/>
                <w:b/>
                <w:lang w:eastAsia="zh-CN"/>
              </w:rPr>
              <w:t>、</w:t>
            </w:r>
            <w:r>
              <w:rPr>
                <w:rFonts w:hint="eastAsia"/>
                <w:b/>
                <w:lang w:val="en-US" w:eastAsia="zh-CN"/>
              </w:rPr>
              <w:t>算法实现</w:t>
            </w:r>
          </w:p>
        </w:tc>
        <w:tc>
          <w:tcPr>
            <w:tcW w:w="1134" w:type="dxa"/>
            <w:vAlign w:val="center"/>
          </w:tcPr>
          <w:p>
            <w:pPr>
              <w:jc w:val="center"/>
              <w:rPr>
                <w:b/>
              </w:rPr>
            </w:pPr>
            <w:r>
              <w:rPr>
                <w:rFonts w:hint="eastAsia"/>
                <w:b/>
              </w:rPr>
              <w:t>1</w:t>
            </w:r>
          </w:p>
        </w:tc>
        <w:tc>
          <w:tcPr>
            <w:tcW w:w="3606" w:type="dxa"/>
            <w:vAlign w:val="center"/>
          </w:tcPr>
          <w:p>
            <w:pPr>
              <w:jc w:val="center"/>
              <w:rPr>
                <w:rFonts w:hint="default" w:eastAsia="宋体"/>
                <w:b/>
                <w:lang w:val="en-US" w:eastAsia="zh-CN"/>
              </w:rPr>
            </w:pPr>
            <w:r>
              <w:rPr>
                <w:rFonts w:hint="eastAsia"/>
                <w:b/>
                <w:lang w:val="en-US" w:eastAsia="zh-CN"/>
              </w:rPr>
              <w:t>学习人工智能算法、Matlab编程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77" w:type="dxa"/>
            <w:vMerge w:val="continue"/>
            <w:vAlign w:val="center"/>
          </w:tcPr>
          <w:p>
            <w:pPr>
              <w:jc w:val="center"/>
              <w:rPr>
                <w:b/>
              </w:rPr>
            </w:pPr>
          </w:p>
        </w:tc>
        <w:tc>
          <w:tcPr>
            <w:tcW w:w="2943" w:type="dxa"/>
            <w:vAlign w:val="center"/>
          </w:tcPr>
          <w:p>
            <w:pPr>
              <w:jc w:val="center"/>
              <w:rPr>
                <w:rFonts w:hint="default" w:eastAsia="宋体"/>
                <w:b/>
                <w:lang w:val="en-US" w:eastAsia="zh-CN"/>
              </w:rPr>
            </w:pPr>
            <w:r>
              <w:rPr>
                <w:rFonts w:hint="eastAsia"/>
                <w:b/>
                <w:lang w:val="en-US" w:eastAsia="zh-CN"/>
              </w:rPr>
              <w:t>报告撰写</w:t>
            </w:r>
          </w:p>
        </w:tc>
        <w:tc>
          <w:tcPr>
            <w:tcW w:w="1134" w:type="dxa"/>
            <w:vAlign w:val="center"/>
          </w:tcPr>
          <w:p>
            <w:pPr>
              <w:jc w:val="center"/>
              <w:rPr>
                <w:rFonts w:hint="eastAsia" w:eastAsia="宋体"/>
                <w:b/>
                <w:lang w:val="en-US" w:eastAsia="zh-CN"/>
              </w:rPr>
            </w:pPr>
            <w:r>
              <w:rPr>
                <w:rFonts w:hint="eastAsia"/>
                <w:b/>
                <w:lang w:val="en-US" w:eastAsia="zh-CN"/>
              </w:rPr>
              <w:t>1</w:t>
            </w:r>
          </w:p>
        </w:tc>
        <w:tc>
          <w:tcPr>
            <w:tcW w:w="3606" w:type="dxa"/>
            <w:vAlign w:val="center"/>
          </w:tcPr>
          <w:p>
            <w:pPr>
              <w:jc w:val="center"/>
              <w:rPr>
                <w:b/>
              </w:rPr>
            </w:pPr>
            <w:r>
              <w:rPr>
                <w:rFonts w:hint="eastAsia"/>
                <w:b/>
                <w:lang w:val="en-US" w:eastAsia="zh-CN"/>
              </w:rPr>
              <w:t>学习</w:t>
            </w:r>
            <w:bookmarkStart w:id="0" w:name="_GoBack"/>
            <w:bookmarkEnd w:id="0"/>
            <w:r>
              <w:rPr>
                <w:rFonts w:hint="eastAsia"/>
                <w:b/>
                <w:lang w:val="en-US" w:eastAsia="zh-CN"/>
              </w:rPr>
              <w:t>Matlab编程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77" w:type="dxa"/>
            <w:vMerge w:val="continue"/>
            <w:vAlign w:val="center"/>
          </w:tcPr>
          <w:p>
            <w:pPr>
              <w:jc w:val="center"/>
              <w:rPr>
                <w:b/>
              </w:rPr>
            </w:pPr>
          </w:p>
        </w:tc>
        <w:tc>
          <w:tcPr>
            <w:tcW w:w="2943" w:type="dxa"/>
            <w:vAlign w:val="center"/>
          </w:tcPr>
          <w:p>
            <w:pPr>
              <w:jc w:val="center"/>
              <w:rPr>
                <w:b/>
              </w:rPr>
            </w:pPr>
          </w:p>
        </w:tc>
        <w:tc>
          <w:tcPr>
            <w:tcW w:w="1134" w:type="dxa"/>
            <w:vAlign w:val="center"/>
          </w:tcPr>
          <w:p>
            <w:pPr>
              <w:jc w:val="center"/>
              <w:rPr>
                <w:b/>
              </w:rPr>
            </w:pPr>
          </w:p>
        </w:tc>
        <w:tc>
          <w:tcPr>
            <w:tcW w:w="3606" w:type="dxa"/>
            <w:vAlign w:val="center"/>
          </w:tcPr>
          <w:p>
            <w:pPr>
              <w:jc w:val="cente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1277" w:type="dxa"/>
            <w:vMerge w:val="continue"/>
            <w:vAlign w:val="center"/>
          </w:tcPr>
          <w:p>
            <w:pPr>
              <w:jc w:val="center"/>
              <w:rPr>
                <w:b/>
              </w:rPr>
            </w:pPr>
          </w:p>
        </w:tc>
        <w:tc>
          <w:tcPr>
            <w:tcW w:w="2943" w:type="dxa"/>
            <w:vAlign w:val="center"/>
          </w:tcPr>
          <w:p/>
        </w:tc>
        <w:tc>
          <w:tcPr>
            <w:tcW w:w="1134" w:type="dxa"/>
            <w:vAlign w:val="center"/>
          </w:tcPr>
          <w:p>
            <w:pPr>
              <w:jc w:val="center"/>
              <w:rPr>
                <w:b/>
              </w:rPr>
            </w:pPr>
          </w:p>
        </w:tc>
        <w:tc>
          <w:tcPr>
            <w:tcW w:w="3606" w:type="dxa"/>
            <w:vAlign w:val="center"/>
          </w:tcPr>
          <w:p>
            <w:pPr>
              <w:jc w:val="cente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83" w:hRule="atLeast"/>
        </w:trPr>
        <w:tc>
          <w:tcPr>
            <w:tcW w:w="1277" w:type="dxa"/>
            <w:textDirection w:val="tbRlV"/>
            <w:vAlign w:val="center"/>
          </w:tcPr>
          <w:p>
            <w:pPr>
              <w:ind w:left="113" w:right="113"/>
              <w:jc w:val="center"/>
              <w:rPr>
                <w:b/>
              </w:rPr>
            </w:pPr>
            <w:r>
              <w:rPr>
                <w:rFonts w:hint="eastAsia"/>
                <w:b/>
              </w:rPr>
              <w:t>备  注</w:t>
            </w:r>
          </w:p>
        </w:tc>
        <w:tc>
          <w:tcPr>
            <w:tcW w:w="7683" w:type="dxa"/>
            <w:gridSpan w:val="3"/>
            <w:vAlign w:val="center"/>
          </w:tcPr>
          <w:p>
            <w:pPr>
              <w:jc w:val="center"/>
              <w:rPr>
                <w:b/>
              </w:rPr>
            </w:pPr>
          </w:p>
          <w:p/>
        </w:tc>
      </w:tr>
    </w:tbl>
    <w:p>
      <w:pPr>
        <w:rPr>
          <w:b/>
        </w:rPr>
      </w:pPr>
    </w:p>
    <w:sectPr>
      <w:pgSz w:w="11906" w:h="16838"/>
      <w:pgMar w:top="1440" w:right="1800" w:bottom="1134" w:left="1800" w:header="851" w:footer="28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hlMjcxNjBkMWQ1ZTNhOTYzNzQyMjRiODlmNDBkMDUifQ=="/>
  </w:docVars>
  <w:rsids>
    <w:rsidRoot w:val="007B751C"/>
    <w:rsid w:val="0014300C"/>
    <w:rsid w:val="00174D7B"/>
    <w:rsid w:val="00227CD9"/>
    <w:rsid w:val="002C78C7"/>
    <w:rsid w:val="002D2019"/>
    <w:rsid w:val="003865FA"/>
    <w:rsid w:val="004104F0"/>
    <w:rsid w:val="00580FD7"/>
    <w:rsid w:val="005A2301"/>
    <w:rsid w:val="007B751C"/>
    <w:rsid w:val="007C20E1"/>
    <w:rsid w:val="00800721"/>
    <w:rsid w:val="009658F0"/>
    <w:rsid w:val="00972B32"/>
    <w:rsid w:val="009B5F7B"/>
    <w:rsid w:val="00AB104B"/>
    <w:rsid w:val="00B30875"/>
    <w:rsid w:val="00B82121"/>
    <w:rsid w:val="00BF1A47"/>
    <w:rsid w:val="00E16883"/>
    <w:rsid w:val="00F16859"/>
    <w:rsid w:val="013449D4"/>
    <w:rsid w:val="13417546"/>
    <w:rsid w:val="146C16C7"/>
    <w:rsid w:val="1E5224CF"/>
    <w:rsid w:val="218E0668"/>
    <w:rsid w:val="2E8C32F4"/>
    <w:rsid w:val="3B051549"/>
    <w:rsid w:val="54041590"/>
    <w:rsid w:val="6E1A16CA"/>
    <w:rsid w:val="718960E9"/>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qFormat="1" w:unhideWhenUsed="0"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2"/>
    <w:qFormat/>
    <w:uiPriority w:val="0"/>
    <w:pPr>
      <w:keepNext/>
      <w:keepLines/>
      <w:spacing w:before="340" w:after="330" w:line="578" w:lineRule="auto"/>
      <w:outlineLvl w:val="0"/>
    </w:pPr>
    <w:rPr>
      <w:b/>
      <w:bCs/>
      <w:kern w:val="44"/>
      <w:sz w:val="44"/>
      <w:szCs w:val="44"/>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4"/>
    <w:qFormat/>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Subtitle"/>
    <w:basedOn w:val="1"/>
    <w:next w:val="1"/>
    <w:link w:val="13"/>
    <w:qFormat/>
    <w:uiPriority w:val="0"/>
    <w:pPr>
      <w:spacing w:before="240" w:after="60" w:line="312" w:lineRule="auto"/>
      <w:jc w:val="center"/>
      <w:outlineLvl w:val="1"/>
    </w:pPr>
    <w:rPr>
      <w:rFonts w:ascii="Cambria" w:hAnsi="Cambria"/>
      <w:b/>
      <w:bCs/>
      <w:kern w:val="28"/>
      <w:sz w:val="32"/>
      <w:szCs w:val="32"/>
    </w:rPr>
  </w:style>
  <w:style w:type="character" w:styleId="9">
    <w:name w:val="Hyperlink"/>
    <w:semiHidden/>
    <w:unhideWhenUsed/>
    <w:qFormat/>
    <w:uiPriority w:val="99"/>
    <w:rPr>
      <w:color w:val="0563C1"/>
      <w:u w:val="single"/>
    </w:rPr>
  </w:style>
  <w:style w:type="character" w:customStyle="1" w:styleId="10">
    <w:name w:val="页眉 字符"/>
    <w:link w:val="5"/>
    <w:semiHidden/>
    <w:qFormat/>
    <w:uiPriority w:val="0"/>
    <w:rPr>
      <w:sz w:val="18"/>
      <w:szCs w:val="18"/>
    </w:rPr>
  </w:style>
  <w:style w:type="character" w:customStyle="1" w:styleId="11">
    <w:name w:val="页脚 字符"/>
    <w:link w:val="4"/>
    <w:semiHidden/>
    <w:qFormat/>
    <w:uiPriority w:val="0"/>
    <w:rPr>
      <w:sz w:val="18"/>
      <w:szCs w:val="18"/>
    </w:rPr>
  </w:style>
  <w:style w:type="character" w:customStyle="1" w:styleId="12">
    <w:name w:val="标题 1 字符"/>
    <w:link w:val="2"/>
    <w:semiHidden/>
    <w:qFormat/>
    <w:uiPriority w:val="0"/>
    <w:rPr>
      <w:b/>
      <w:bCs/>
      <w:kern w:val="44"/>
      <w:sz w:val="44"/>
      <w:szCs w:val="44"/>
    </w:rPr>
  </w:style>
  <w:style w:type="character" w:customStyle="1" w:styleId="13">
    <w:name w:val="副标题 字符"/>
    <w:link w:val="6"/>
    <w:semiHidden/>
    <w:qFormat/>
    <w:uiPriority w:val="0"/>
    <w:rPr>
      <w:rFonts w:ascii="Cambria" w:hAnsi="Cambria" w:eastAsia="宋体"/>
      <w:b/>
      <w:bCs/>
      <w:kern w:val="28"/>
      <w:sz w:val="32"/>
      <w:szCs w:val="32"/>
    </w:rPr>
  </w:style>
  <w:style w:type="character" w:customStyle="1" w:styleId="14">
    <w:name w:val="批注框文本 字符"/>
    <w:link w:val="3"/>
    <w:semiHidden/>
    <w:qFormat/>
    <w:uiPriority w:val="0"/>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BB5FA-D70B-4360-A114-5F556704AAD3}">
  <ds:schemaRefs/>
</ds:datastoreItem>
</file>

<file path=docProps/app.xml><?xml version="1.0" encoding="utf-8"?>
<Properties xmlns="http://schemas.openxmlformats.org/officeDocument/2006/extended-properties" xmlns:vt="http://schemas.openxmlformats.org/officeDocument/2006/docPropsVTypes">
  <Template>Normal.dotm</Template>
  <Company>创意点亮生活，创新引领未来，创业成就梦想</Company>
  <Pages>1</Pages>
  <Words>103</Words>
  <Characters>593</Characters>
  <Lines>4</Lines>
  <Paragraphs>1</Paragraphs>
  <TotalTime>0</TotalTime>
  <ScaleCrop>false</ScaleCrop>
  <LinksUpToDate>false</LinksUpToDate>
  <CharactersWithSpaces>695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2023-11-20T02:26:00Z</dcterms:created>
  <dc:creator>user</dc:creator>
  <cp:lastModifiedBy>王YI</cp:lastModifiedBy>
  <cp:lastPrinted>2021-11-01T08:37:00Z</cp:lastPrinted>
  <dcterms:modified xsi:type="dcterms:W3CDTF">2023-11-20T03:13:22Z</dcterms:modified>
  <dc:title>南京航空航天大学第十六届“中航工业”</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1CA2056E9000418EA666C3711B7B3CBC</vt:lpwstr>
  </property>
</Properties>
</file>