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74"/>
        <w:spacing w:before="0" w:after="0" w:lineRule="auto" w:line="240"/>
        <w:rPr>
          <w:rFonts w:ascii="华文中宋" w:eastAsia="华文中宋" w:hAnsi="华文中宋"/>
          <w:b w:val="false"/>
          <w:sz w:val="30"/>
          <w:szCs w:val="30"/>
        </w:rPr>
      </w:pPr>
      <w:r>
        <w:rPr>
          <w:rFonts w:ascii="华文中宋" w:eastAsia="华文中宋" w:hAnsi="华文中宋" w:hint="eastAsia"/>
        </w:rPr>
        <w:t>自由探索计划“天目启航”专项</w:t>
      </w:r>
      <w:r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>
      <w:pPr>
        <w:pStyle w:val="style0"/>
        <w:rPr/>
      </w:pPr>
    </w:p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>
        <w:trPr>
          <w:trHeight w:val="489" w:hRule="atLeast"/>
        </w:trPr>
        <w:tc>
          <w:tcPr>
            <w:tcW w:w="1277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胡大治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tcBorders/>
            <w:vAlign w:val="center"/>
          </w:tcPr>
          <w:p>
            <w:pPr>
              <w:pStyle w:val="style0"/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物理学院</w:t>
            </w:r>
          </w:p>
        </w:tc>
      </w:tr>
      <w:tr>
        <w:tblPrEx/>
        <w:trPr>
          <w:trHeight w:val="489" w:hRule="atLeast"/>
        </w:trPr>
        <w:tc>
          <w:tcPr>
            <w:tcW w:w="1277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5850771833</w:t>
            </w:r>
          </w:p>
        </w:tc>
      </w:tr>
      <w:tr>
        <w:tblPrEx/>
        <w:trPr>
          <w:trHeight w:val="489" w:hRule="atLeast"/>
        </w:trPr>
        <w:tc>
          <w:tcPr>
            <w:tcW w:w="1277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hu</w:t>
            </w:r>
            <w:r>
              <w:rPr>
                <w:b/>
              </w:rPr>
              <w:t>dazhi@nuaa.edu.cn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相变存储材料</w:t>
            </w:r>
          </w:p>
        </w:tc>
      </w:tr>
      <w:tr>
        <w:tblPrEx/>
        <w:trPr>
          <w:trHeight w:val="550" w:hRule="atLeast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>
            <w:pPr>
              <w:pStyle w:val="style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>
            <w:pPr>
              <w:pStyle w:val="style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基于</w:t>
            </w:r>
            <w:r>
              <w:rPr>
                <w:rFonts w:hint="eastAsia"/>
                <w:b/>
              </w:rPr>
              <w:t>M</w:t>
            </w:r>
            <w:r>
              <w:rPr>
                <w:b/>
              </w:rPr>
              <w:t>ATLAB</w:t>
            </w:r>
            <w:r>
              <w:rPr>
                <w:rFonts w:hint="eastAsia"/>
                <w:b/>
              </w:rPr>
              <w:t>的物理实验数据分析与可视化</w:t>
            </w:r>
          </w:p>
        </w:tc>
      </w:tr>
      <w:tr>
        <w:tblPrEx/>
        <w:trPr>
          <w:cantSplit/>
          <w:trHeight w:val="6087" w:hRule="atLeast"/>
        </w:trPr>
        <w:tc>
          <w:tcPr>
            <w:tcW w:w="1277" w:type="dxa"/>
            <w:tcBorders/>
            <w:textDirection w:val="tbRlV"/>
            <w:vAlign w:val="center"/>
          </w:tcPr>
          <w:p>
            <w:pPr>
              <w:pStyle w:val="style0"/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</w:t>
            </w: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tcBorders/>
            <w:vAlign w:val="center"/>
          </w:tcPr>
          <w:p>
            <w:pPr>
              <w:pStyle w:val="style0"/>
              <w:shd w:val="solid" w:color="ffffff" w:fill="auto"/>
              <w:autoSpaceDN w:val="false"/>
              <w:spacing w:lineRule="atLeast" w:line="315"/>
              <w:ind w:firstLine="422" w:firstLineChars="200"/>
              <w:jc w:val="lef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本项目旨在利用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Matlab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强大的数值计算和可视化功能，对物理实验数据进行分析和可视化展示。通过对实验数据的处理和分析，深入了解物理现象背后的规律，同时通过直观的可视化图表，更好地呈现实验结果。</w:t>
            </w:r>
          </w:p>
          <w:p>
            <w:pPr>
              <w:pStyle w:val="style0"/>
              <w:shd w:val="solid" w:color="ffffff" w:fill="auto"/>
              <w:autoSpaceDN w:val="false"/>
              <w:spacing w:lineRule="atLeast" w:line="315"/>
              <w:ind w:firstLine="422" w:firstLineChars="200"/>
              <w:jc w:val="lef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在这个项目中，我们将使用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Matlab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来实现以下功能：</w:t>
            </w:r>
          </w:p>
          <w:p>
            <w:pPr>
              <w:pStyle w:val="style0"/>
              <w:shd w:val="solid" w:color="ffffff" w:fill="auto"/>
              <w:autoSpaceDN w:val="false"/>
              <w:spacing w:lineRule="atLeast" w:line="315"/>
              <w:ind w:firstLine="422" w:firstLineChars="200"/>
              <w:jc w:val="lef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数据导入和预处理：将实验数据导入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Matlab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中，并进行数据清洗、</w:t>
            </w:r>
            <w:r>
              <w:rPr>
                <w:rFonts w:hint="eastAsia"/>
                <w:b/>
              </w:rPr>
              <w:t>缺失值处理</w:t>
            </w:r>
            <w:r>
              <w:rPr>
                <w:rFonts w:hint="eastAsia"/>
                <w:b/>
              </w:rPr>
              <w:t>等操作。</w:t>
            </w:r>
          </w:p>
          <w:p>
            <w:pPr>
              <w:pStyle w:val="style0"/>
              <w:shd w:val="solid" w:color="ffffff" w:fill="auto"/>
              <w:autoSpaceDN w:val="false"/>
              <w:spacing w:lineRule="atLeast" w:line="315"/>
              <w:ind w:firstLine="422" w:firstLineChars="200"/>
              <w:jc w:val="lef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数据分析：运用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Matlab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中的统计分析、曲线拟合、数值计算等功能，对实验数据进行分析，提取关键信息。</w:t>
            </w:r>
          </w:p>
          <w:p>
            <w:pPr>
              <w:pStyle w:val="style0"/>
              <w:shd w:val="solid" w:color="ffffff" w:fill="auto"/>
              <w:autoSpaceDN w:val="false"/>
              <w:spacing w:lineRule="atLeast" w:line="315"/>
              <w:ind w:firstLine="422" w:firstLineChars="200"/>
              <w:jc w:val="lef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可视化展示：使用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Matlab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的绘图函数，将分析结果以图表的形式展示，如折线图、柱状图、散点图等。</w:t>
            </w:r>
          </w:p>
          <w:p>
            <w:pPr>
              <w:pStyle w:val="style0"/>
              <w:shd w:val="solid" w:color="ffffff" w:fill="auto"/>
              <w:autoSpaceDN w:val="false"/>
              <w:spacing w:lineRule="atLeast" w:line="315"/>
              <w:ind w:firstLine="422" w:firstLineChars="200"/>
              <w:jc w:val="lef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结果解释与讨论：对可视化结果进行解释，探讨实验数据与理论模型的一致性，分析实验误差来源。</w:t>
            </w:r>
          </w:p>
          <w:p>
            <w:pPr>
              <w:pStyle w:val="style0"/>
              <w:shd w:val="solid" w:color="ffffff" w:fill="auto"/>
              <w:autoSpaceDN w:val="false"/>
              <w:spacing w:lineRule="atLeast" w:line="315"/>
              <w:ind w:firstLine="422" w:firstLineChars="20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通过这个项目，我们将提高数据处理和可视化的效率，深入理解物理定律和实验原理，并为物理实验数据的处理提供新的思路和方法。</w:t>
            </w:r>
            <w:bookmarkStart w:id="0" w:name="_GoBack"/>
            <w:bookmarkEnd w:id="0"/>
          </w:p>
        </w:tc>
      </w:tr>
      <w:tr>
        <w:tblPrEx/>
        <w:trPr>
          <w:trHeight w:val="471" w:hRule="atLeast"/>
        </w:trPr>
        <w:tc>
          <w:tcPr>
            <w:tcW w:w="1277" w:type="dxa"/>
            <w:vMerge w:val="restart"/>
            <w:tcBorders/>
            <w:textDirection w:val="tbRlV"/>
            <w:vAlign w:val="center"/>
          </w:tcPr>
          <w:p>
            <w:pPr>
              <w:pStyle w:val="style0"/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>
        <w:tblPrEx/>
        <w:trPr>
          <w:trHeight w:val="510" w:hRule="atLeast"/>
        </w:trPr>
        <w:tc>
          <w:tcPr>
            <w:tcW w:w="1277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</w:p>
        </w:tc>
        <w:tc>
          <w:tcPr>
            <w:tcW w:w="294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</w:rPr>
            </w:pPr>
            <w:r>
              <w:rPr>
                <w:rFonts w:hint="default"/>
                <w:b/>
                <w:lang w:val="en-US"/>
              </w:rPr>
              <w:t>使用matlab进行编程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  <w:r>
              <w:rPr>
                <w:b/>
                <w:lang w:val="en-US"/>
              </w:rPr>
              <w:t>1-3</w:t>
            </w:r>
          </w:p>
        </w:tc>
        <w:tc>
          <w:tcPr>
            <w:tcW w:w="3606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  <w:r>
              <w:rPr>
                <w:b/>
                <w:lang w:val="en-US"/>
              </w:rPr>
              <w:t>无</w:t>
            </w:r>
          </w:p>
        </w:tc>
      </w:tr>
      <w:tr>
        <w:tblPrEx/>
        <w:trPr>
          <w:trHeight w:val="510" w:hRule="atLeast"/>
        </w:trPr>
        <w:tc>
          <w:tcPr>
            <w:tcW w:w="1277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</w:p>
        </w:tc>
        <w:tc>
          <w:tcPr>
            <w:tcW w:w="2943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</w:p>
        </w:tc>
        <w:tc>
          <w:tcPr>
            <w:tcW w:w="1134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</w:p>
        </w:tc>
        <w:tc>
          <w:tcPr>
            <w:tcW w:w="3606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</w:p>
        </w:tc>
      </w:tr>
      <w:tr>
        <w:tblPrEx/>
        <w:trPr>
          <w:trHeight w:val="510" w:hRule="atLeast"/>
        </w:trPr>
        <w:tc>
          <w:tcPr>
            <w:tcW w:w="1277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</w:p>
        </w:tc>
        <w:tc>
          <w:tcPr>
            <w:tcW w:w="2943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</w:p>
        </w:tc>
        <w:tc>
          <w:tcPr>
            <w:tcW w:w="1134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</w:p>
        </w:tc>
        <w:tc>
          <w:tcPr>
            <w:tcW w:w="3606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</w:p>
        </w:tc>
      </w:tr>
      <w:tr>
        <w:tblPrEx/>
        <w:trPr>
          <w:trHeight w:val="510" w:hRule="atLeast"/>
        </w:trPr>
        <w:tc>
          <w:tcPr>
            <w:tcW w:w="1277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</w:p>
        </w:tc>
        <w:tc>
          <w:tcPr>
            <w:tcW w:w="2943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</w:p>
        </w:tc>
        <w:tc>
          <w:tcPr>
            <w:tcW w:w="1134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</w:p>
        </w:tc>
        <w:tc>
          <w:tcPr>
            <w:tcW w:w="3606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</w:p>
        </w:tc>
      </w:tr>
      <w:tr>
        <w:tblPrEx/>
        <w:trPr>
          <w:trHeight w:val="391" w:hRule="atLeast"/>
        </w:trPr>
        <w:tc>
          <w:tcPr>
            <w:tcW w:w="1277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</w:p>
        </w:tc>
        <w:tc>
          <w:tcPr>
            <w:tcW w:w="2943" w:type="dxa"/>
            <w:tcBorders/>
            <w:vAlign w:val="center"/>
          </w:tcPr>
          <w:p>
            <w:pPr>
              <w:pStyle w:val="style0"/>
              <w:rPr/>
            </w:pPr>
          </w:p>
        </w:tc>
        <w:tc>
          <w:tcPr>
            <w:tcW w:w="1134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</w:p>
        </w:tc>
        <w:tc>
          <w:tcPr>
            <w:tcW w:w="3606" w:type="dxa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</w:p>
        </w:tc>
      </w:tr>
      <w:tr>
        <w:tblPrEx/>
        <w:trPr>
          <w:cantSplit/>
          <w:trHeight w:val="783" w:hRule="atLeast"/>
        </w:trPr>
        <w:tc>
          <w:tcPr>
            <w:tcW w:w="1277" w:type="dxa"/>
            <w:tcBorders/>
            <w:textDirection w:val="tbRlV"/>
            <w:vAlign w:val="center"/>
          </w:tcPr>
          <w:p>
            <w:pPr>
              <w:pStyle w:val="style0"/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tcBorders/>
            <w:vAlign w:val="center"/>
          </w:tcPr>
          <w:p>
            <w:pPr>
              <w:pStyle w:val="style0"/>
              <w:jc w:val="center"/>
              <w:rPr>
                <w:b/>
              </w:rPr>
            </w:pPr>
          </w:p>
          <w:p>
            <w:pPr>
              <w:pStyle w:val="style0"/>
              <w:rPr/>
            </w:pPr>
          </w:p>
        </w:tc>
      </w:tr>
    </w:tbl>
    <w:p>
      <w:pPr>
        <w:pStyle w:val="style0"/>
        <w:rPr>
          <w:b/>
        </w:rPr>
      </w:pPr>
    </w:p>
    <w:sectPr>
      <w:pgSz w:w="11906" w:h="16838" w:orient="portrait"/>
      <w:pgMar w:top="1440" w:right="1800" w:bottom="1134" w:left="1800" w:header="851" w:footer="28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  <w:font w:name="华文中宋">
    <w:altName w:val="华文中宋"/>
    <w:panose1 w:val="02010600040001010101"/>
    <w:charset w:val="86"/>
    <w:family w:val="auto"/>
    <w:pitch w:val="variable"/>
    <w:sig w:usb0="00000287" w:usb1="080F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pPr>
      <w:widowControl w:val="false"/>
      <w:jc w:val="both"/>
    </w:pPr>
    <w:rPr>
      <w:rFonts w:ascii="Calibri" w:hAnsi="Calibri"/>
      <w:kern w:val="2"/>
      <w:sz w:val="21"/>
      <w:szCs w:val="22"/>
    </w:rPr>
  </w:style>
  <w:style w:type="paragraph" w:styleId="style1">
    <w:name w:val="heading 1"/>
    <w:basedOn w:val="style0"/>
    <w:next w:val="style0"/>
    <w:link w:val="style4099"/>
    <w:qFormat/>
    <w:pPr>
      <w:keepNext/>
      <w:keepLines/>
      <w:spacing w:before="340" w:after="330" w:lineRule="auto" w:line="578"/>
      <w:outlineLvl w:val="0"/>
    </w:pPr>
    <w:rPr>
      <w:b/>
      <w:bCs/>
      <w:kern w:val="44"/>
      <w:sz w:val="44"/>
      <w:szCs w:val="4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53">
    <w:name w:val="Balloon Text"/>
    <w:basedOn w:val="style0"/>
    <w:next w:val="style153"/>
    <w:link w:val="style4101"/>
    <w:qFormat/>
    <w:pPr/>
    <w:rPr>
      <w:sz w:val="18"/>
      <w:szCs w:val="18"/>
    </w:rPr>
  </w:style>
  <w:style w:type="paragraph" w:styleId="style32">
    <w:name w:val="footer"/>
    <w:basedOn w:val="style0"/>
    <w:next w:val="style32"/>
    <w:link w:val="style4098"/>
    <w:qFormat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qFormat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paragraph" w:styleId="style74">
    <w:name w:val="Subtitle"/>
    <w:basedOn w:val="style0"/>
    <w:next w:val="style0"/>
    <w:link w:val="style4100"/>
    <w:qFormat/>
    <w:pPr>
      <w:spacing w:before="240" w:after="60" w:lineRule="auto" w:line="312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style4097">
    <w:name w:val="页眉 字符"/>
    <w:next w:val="style4097"/>
    <w:link w:val="style31"/>
    <w:qFormat/>
    <w:rPr>
      <w:sz w:val="18"/>
      <w:szCs w:val="18"/>
    </w:rPr>
  </w:style>
  <w:style w:type="character" w:customStyle="1" w:styleId="style4098">
    <w:name w:val="页脚 字符"/>
    <w:next w:val="style4098"/>
    <w:link w:val="style32"/>
    <w:qFormat/>
    <w:rPr>
      <w:sz w:val="18"/>
      <w:szCs w:val="18"/>
    </w:rPr>
  </w:style>
  <w:style w:type="character" w:customStyle="1" w:styleId="style4099">
    <w:name w:val="标题 1 字符"/>
    <w:next w:val="style4099"/>
    <w:link w:val="style1"/>
    <w:qFormat/>
    <w:rPr>
      <w:b/>
      <w:bCs/>
      <w:kern w:val="44"/>
      <w:sz w:val="44"/>
      <w:szCs w:val="44"/>
    </w:rPr>
  </w:style>
  <w:style w:type="character" w:customStyle="1" w:styleId="style4100">
    <w:name w:val="副标题 字符"/>
    <w:next w:val="style4100"/>
    <w:link w:val="style74"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style4101">
    <w:name w:val="批注框文本 字符"/>
    <w:next w:val="style4101"/>
    <w:link w:val="style153"/>
    <w:qFormat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CE2B9-5BB6-42E6-848F-29864C36C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Words>460</Words>
  <Pages>1</Pages>
  <Characters>527</Characters>
  <Application>WPS Office</Application>
  <DocSecurity>0</DocSecurity>
  <Paragraphs>64</Paragraphs>
  <ScaleCrop>false</ScaleCrop>
  <Company>创意点亮生活，创新引领未来，创业成就梦想</Company>
  <LinksUpToDate>false</LinksUpToDate>
  <CharactersWithSpaces>551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2023-11-19T09:04:00Z</dcterms:created>
  <dc:creator>user</dc:creator>
  <lastModifiedBy>ELS-AN00</lastModifiedBy>
  <lastPrinted>2021-11-01T08:37:00Z</lastPrinted>
  <dcterms:modified xsi:type="dcterms:W3CDTF">2023-11-21T02:41:19Z</dcterms:modified>
  <revision>2</revision>
  <dc:title>南京航空航天大学第十六届“中航工业”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